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77" w:rsidRPr="007E4277" w:rsidRDefault="007E4277" w:rsidP="007E4277">
      <w:pPr>
        <w:spacing w:after="144" w:line="270" w:lineRule="atLeast"/>
        <w:outlineLvl w:val="0"/>
        <w:rPr>
          <w:rFonts w:ascii="Times New Roman" w:eastAsia="Times New Roman" w:hAnsi="Times New Roman" w:cs="Times New Roman"/>
          <w:b/>
          <w:bCs/>
          <w:color w:val="F44EE0"/>
          <w:kern w:val="36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kern w:val="36"/>
          <w:lang w:eastAsia="cs-CZ"/>
        </w:rPr>
        <w:t xml:space="preserve">Syndrom </w:t>
      </w:r>
      <w:proofErr w:type="spellStart"/>
      <w:r w:rsidRPr="007E4277">
        <w:rPr>
          <w:rFonts w:ascii="Times New Roman" w:eastAsia="Times New Roman" w:hAnsi="Times New Roman" w:cs="Times New Roman"/>
          <w:b/>
          <w:bCs/>
          <w:color w:val="F44EE0"/>
          <w:kern w:val="36"/>
          <w:lang w:eastAsia="cs-CZ"/>
        </w:rPr>
        <w:t>polycystických</w:t>
      </w:r>
      <w:proofErr w:type="spellEnd"/>
      <w:r w:rsidRPr="007E4277">
        <w:rPr>
          <w:rFonts w:ascii="Times New Roman" w:eastAsia="Times New Roman" w:hAnsi="Times New Roman" w:cs="Times New Roman"/>
          <w:b/>
          <w:bCs/>
          <w:color w:val="F44EE0"/>
          <w:kern w:val="36"/>
          <w:lang w:eastAsia="cs-CZ"/>
        </w:rPr>
        <w:t xml:space="preserve"> </w:t>
      </w:r>
      <w:proofErr w:type="spellStart"/>
      <w:r w:rsidRPr="007E4277">
        <w:rPr>
          <w:rFonts w:ascii="Times New Roman" w:eastAsia="Times New Roman" w:hAnsi="Times New Roman" w:cs="Times New Roman"/>
          <w:b/>
          <w:bCs/>
          <w:color w:val="F44EE0"/>
          <w:kern w:val="36"/>
          <w:lang w:eastAsia="cs-CZ"/>
        </w:rPr>
        <w:t>ovárií</w:t>
      </w:r>
      <w:proofErr w:type="spellEnd"/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Syndrom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polycystických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ovárií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(PCOS) je jednou z nejčastějších endokrinních poruch u žen. Postihuje 5-10% žen v reprodukčním věku a je jednou z hlavních příčin ženské neplodnosti.</w:t>
      </w:r>
    </w:p>
    <w:p w:rsidR="007E4277" w:rsidRPr="007E4277" w:rsidRDefault="007E4277" w:rsidP="007E4277">
      <w:pPr>
        <w:spacing w:before="288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F44EE0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t>Definice PCOS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Podle tzv. Rotterdamských kritérií z r. 2003 je PCOS definován přítomností alespoň dvou z následujících tří kritérií:</w:t>
      </w:r>
    </w:p>
    <w:p w:rsidR="007E4277" w:rsidRPr="007E4277" w:rsidRDefault="007E4277" w:rsidP="007E427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Ultrazvukový průkaz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polycystických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ovárií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. Sonografické vyšetření musí být provedeno zkušeným lékařem ve folikulární fázi menstruačního cyklu.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Polycystická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ovária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jsou definována přítomností alespoň 12 drobných (2-8mm) folikulů, které dohromady přesahují objem 10 ml. Toto vyšetření není spolehlivé u žen, které delší dobu užívají hormonální antikoncepci.</w:t>
      </w:r>
    </w:p>
    <w:p w:rsidR="007E4277" w:rsidRPr="007E4277" w:rsidRDefault="007E4277" w:rsidP="007E427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Chronické anovulační cykly (tj. nepravidelný menstruační cyklus, při kterém chybí ovulace)</w:t>
      </w:r>
    </w:p>
    <w:p w:rsidR="007E4277" w:rsidRPr="007E4277" w:rsidRDefault="007E4277" w:rsidP="007E427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Klinický a/nebo laboratorní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hyperandrogenismus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(tj. nadbytek mužských pohlavních hormonů).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Ženy s PCOS často trpí nadváhou nebo obezitou (ale mohou mít i normální hmotnost), anovulací a tedy i nepravidelnou menstruací, akné a zvýšeným ochlupením. Uvedené příznaky jsou však individuální a mohou se u různých žen lišit. Důležité je zjištění, že ženy s PCOS často trpí metabolickými poruchami vedoucími ke vzniku insulinové rezistence a posléze i cukrovkou 2. typu.</w:t>
      </w:r>
    </w:p>
    <w:p w:rsidR="007E4277" w:rsidRPr="007E4277" w:rsidRDefault="007E4277" w:rsidP="007E4277">
      <w:pPr>
        <w:spacing w:before="288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F44EE0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t>Diagnóza PCOS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Ne všechny ženy s PCOS mají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polycystická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ovária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na gynekologickém ultrazvuku, a naopak ne všechny ženy, které mají ovariální cysty, trpí PCOS. Diagnóza PCOS vychází z výše uvedených Rotterdamských kritérií. Při jejím stanovení se provádějí následující vyšetření:</w:t>
      </w:r>
    </w:p>
    <w:p w:rsidR="007E4277" w:rsidRPr="007E4277" w:rsidRDefault="007E4277" w:rsidP="007E427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Anamnéza: nepravidelná, málo častá menstruace; obezita; zvýšené ochlupení a zástava vývoje prsů u dívek.</w:t>
      </w:r>
    </w:p>
    <w:p w:rsidR="007E4277" w:rsidRPr="007E4277" w:rsidRDefault="007E4277" w:rsidP="007E427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Gynekologický ultrazvuk – četné drobné cysty na vaječnících.</w:t>
      </w:r>
    </w:p>
    <w:p w:rsidR="007E4277" w:rsidRPr="007E4277" w:rsidRDefault="007E4277" w:rsidP="007E427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Laparoskopický nález zesíleného, hladkého a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perleťovitého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povrchu vaječníků (většinou zjištěn náhodou při laparoskopii z jiného důvodu).</w:t>
      </w:r>
    </w:p>
    <w:p w:rsidR="007E4277" w:rsidRPr="007E4277" w:rsidRDefault="007E4277" w:rsidP="007E427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Zvýšené koncentrace mužských pohlavních hormonů v krvi (androgenů):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androstendion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, testosteron a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dehydroepiandrosteron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sulfát. Z nich je nejcitlivější volný testosteron, který je zvýšený asi u 60 % žen s PCOS.</w:t>
      </w:r>
    </w:p>
    <w:p w:rsidR="007E4277" w:rsidRPr="007E4277" w:rsidRDefault="007E4277" w:rsidP="007E427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Další, méně specifická vyšetření z krve. Zvýšený poměr LH (luteinizačního hormonu) k FSH (folikulostimulačnímu hormonu) nad 1:1, krevní test se musí provést 3. den menstruace. Obézní ženy s PCOS mají často snížený SHBG (globulin vážící pohlavní hormony).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Ke stanovení metabolického rizika žen s PCOS je vhodné také stanovit základní biochemické vyšetření včetně glykémie na lačno a lipidový profil (krevní tuky). U rizikových pacientek je vhodné také provést orální glukózový toleranční test (OGTT).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Je vhodné také vyloučit jiná onemocnění, která by mohla PCOS imitovat, tedy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hyperprolaktinémii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(stanovit prolaktin), sníženou funkci štítné žlázy (stanovit TSH) a kongenitální adrenální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hyperplázii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(stanovit </w:t>
      </w:r>
      <w:proofErr w:type="gramStart"/>
      <w:r w:rsidRPr="007E4277">
        <w:rPr>
          <w:rFonts w:ascii="Times New Roman" w:eastAsia="Times New Roman" w:hAnsi="Times New Roman" w:cs="Times New Roman"/>
          <w:lang w:eastAsia="cs-CZ"/>
        </w:rPr>
        <w:t>17-hydroxyprogesteron</w:t>
      </w:r>
      <w:proofErr w:type="gramEnd"/>
      <w:r w:rsidRPr="007E4277">
        <w:rPr>
          <w:rFonts w:ascii="Times New Roman" w:eastAsia="Times New Roman" w:hAnsi="Times New Roman" w:cs="Times New Roman"/>
          <w:lang w:eastAsia="cs-CZ"/>
        </w:rPr>
        <w:t>).</w:t>
      </w:r>
    </w:p>
    <w:p w:rsidR="007E4277" w:rsidRDefault="007E4277" w:rsidP="007E4277">
      <w:pPr>
        <w:spacing w:before="288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F44EE0"/>
          <w:lang w:eastAsia="cs-CZ"/>
        </w:rPr>
      </w:pPr>
    </w:p>
    <w:p w:rsidR="007E4277" w:rsidRPr="007E4277" w:rsidRDefault="007E4277" w:rsidP="007E4277">
      <w:pPr>
        <w:spacing w:before="288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F44EE0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lastRenderedPageBreak/>
        <w:t>Léčba PCOS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Léčba PCOS je složitá a dlouhodobá. Závisí na tom, jakého cíle chce pacientka dosáhnout, tedy zda je hlavní snížení koncentrace insulinu v krvi, obnovení plodnosti, léčba zvýšeného ochlupení a akné, navození pravidelné menstruace a prevence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endometriální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hyperplazie a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endometriálního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karcinomu.</w:t>
      </w:r>
    </w:p>
    <w:p w:rsidR="007E4277" w:rsidRPr="007E4277" w:rsidRDefault="007E4277" w:rsidP="007E4277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F44EE0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t xml:space="preserve">Léčba </w:t>
      </w:r>
      <w:proofErr w:type="spellStart"/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t>hyperinsulinémie</w:t>
      </w:r>
      <w:proofErr w:type="spellEnd"/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Snížení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hyperinsulinémie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lze dosáhnout hlavně zhubnutím – tedy pravidelným cvičením a držením diety s nízkým příjmem sacharidů. Někdy lze použít medikamentózní léčbu – např.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metforminem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thiazolidindiony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, tato léčba ale nemá prokázanou účinnost a pojišťovny ji z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tého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indikace nehradí.</w:t>
      </w:r>
    </w:p>
    <w:p w:rsidR="007E4277" w:rsidRPr="007E4277" w:rsidRDefault="007E4277" w:rsidP="007E4277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010032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t>Léčba anovulačních cyklů a neplodnosti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Ženy s PCOS mohou být plodné, ale často mívají problémy otěhotnět v důsledku anovulačních menstruačních cyklů. To, zda je přítomna ovulace či nikoli, lze zjistit měřením bazální tělesné teploty v pochvě, která po ovulaci stoupne o 0,5°C. Měření teploty se však musí provádět vždy ráno ještě vleže v posteli. Spolehlivé je stanovení tzv.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midluteálního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progesteronu v krvi 21. -23. den menstruačního cyklu. Pokud je vyšší než 18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nmol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>/l, proběhla ovulace.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Jak docílit ovulačních cyklů? Pro ženy s nadváhou a obezitou je zcela jistě nejlepší léčba redukce hmotnosti. Pokud žena nemá ovulační cykly ani po zhubnutí, může pomoci medikamentózní léčba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klomifen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citrátem (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Clostilbegyt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). Pokud ani zhubnutí a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klomifencitrát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nebyly účinné, přijdou na řadu techniky asistované reprodukce. Někdy je účinná i speciální laparoskopicky prováděná operace vaječníků, která může navodit ovulační cykly.</w:t>
      </w:r>
    </w:p>
    <w:p w:rsidR="007E4277" w:rsidRPr="007E4277" w:rsidRDefault="007E4277" w:rsidP="007E4277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010032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t>Léčba zvýšeného ochlupení (hirsutismu) a akné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Nejčastější léčbou těchto příznaků je podávání hormonální antikoncepce, nejlépe preparátu s obsahem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cyproteronacetátu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(Diane 35,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Chloe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), který má tzv.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antiandrogenní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účinky (působí proti mužským pohlavním hormonům). Léčbu hormonálními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kontraceptivy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však není vhodné podávat u žen starších </w:t>
      </w:r>
      <w:proofErr w:type="gramStart"/>
      <w:r w:rsidRPr="007E4277">
        <w:rPr>
          <w:rFonts w:ascii="Times New Roman" w:eastAsia="Times New Roman" w:hAnsi="Times New Roman" w:cs="Times New Roman"/>
          <w:lang w:eastAsia="cs-CZ"/>
        </w:rPr>
        <w:t>35ti</w:t>
      </w:r>
      <w:proofErr w:type="gramEnd"/>
      <w:r w:rsidRPr="007E4277">
        <w:rPr>
          <w:rFonts w:ascii="Times New Roman" w:eastAsia="Times New Roman" w:hAnsi="Times New Roman" w:cs="Times New Roman"/>
          <w:lang w:eastAsia="cs-CZ"/>
        </w:rPr>
        <w:t xml:space="preserve"> let, u žen obézních, se zvýšenou koncentrací krevních tuků triglyceridů, pokud má žena zvýšené riziko trombózy nebo poškozené jaterní funkce.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Další možností je podávání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spironolaktonu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Verospiron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) ve vyšší dávce (100 – 200 mg denně). Tato léčba je sice účinná, ale může vyvolávat silné menstruační krvácení.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Metformin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je zvláště vhodný u těch žen, které již mají metabolickou poruchu směřující k diabetu 2. typu. Lokálně lze použít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eflornithin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ve formě krému (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Vaniqua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>), jde však o drahý preparát (jedno 30g balení stojí kolem 2000 Kč).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 xml:space="preserve">Uvedená léčba zvýšeného ochlupení však zdaleka není vysoce účinná – většinou vede k redukci ochlupení asi o čtvrtinu. Léčba je také dlouhá, nelze očekávat efekt dříve než za několik měsíců. Proto bývá nutné pokračovat v mechanickém odstraňování chloupků, nejčastěji holením, laserem nebo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elektrojehlou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>. Pozor však na riziko zanechání trvalých jizev. V Praze lze doporučit například Ústav estetické medicíny -</w:t>
      </w:r>
      <w:hyperlink r:id="rId6" w:history="1">
        <w:r w:rsidRPr="007E4277">
          <w:rPr>
            <w:rFonts w:ascii="Times New Roman" w:eastAsia="Times New Roman" w:hAnsi="Times New Roman" w:cs="Times New Roman"/>
            <w:color w:val="414141"/>
            <w:u w:val="single"/>
            <w:lang w:eastAsia="cs-CZ"/>
          </w:rPr>
          <w:t>http://www.uem.cz/</w:t>
        </w:r>
      </w:hyperlink>
      <w:r w:rsidRPr="007E4277">
        <w:rPr>
          <w:rFonts w:ascii="Times New Roman" w:eastAsia="Times New Roman" w:hAnsi="Times New Roman" w:cs="Times New Roman"/>
          <w:lang w:eastAsia="cs-CZ"/>
        </w:rPr>
        <w:t xml:space="preserve"> nebo </w:t>
      </w:r>
      <w:hyperlink r:id="rId7" w:history="1">
        <w:r w:rsidRPr="007E4277">
          <w:rPr>
            <w:rFonts w:ascii="Times New Roman" w:eastAsia="Times New Roman" w:hAnsi="Times New Roman" w:cs="Times New Roman"/>
            <w:color w:val="414141"/>
            <w:u w:val="single"/>
            <w:lang w:eastAsia="cs-CZ"/>
          </w:rPr>
          <w:t>http://www.lasermed.cz</w:t>
        </w:r>
      </w:hyperlink>
      <w:r w:rsidRPr="007E4277">
        <w:rPr>
          <w:rFonts w:ascii="Times New Roman" w:eastAsia="Times New Roman" w:hAnsi="Times New Roman" w:cs="Times New Roman"/>
          <w:lang w:eastAsia="cs-CZ"/>
        </w:rPr>
        <w:t>. Ceny za trvalé odstranění chloupků na obličeji se pohybují kolem 3000Kč za jednu kúru, k trvalému efektu jsou potřeba většinou tři.</w:t>
      </w:r>
    </w:p>
    <w:p w:rsidR="007E4277" w:rsidRPr="007E4277" w:rsidRDefault="007E4277" w:rsidP="007E4277">
      <w:pPr>
        <w:spacing w:before="288" w:after="120" w:line="270" w:lineRule="atLeast"/>
        <w:outlineLvl w:val="1"/>
        <w:rPr>
          <w:rFonts w:ascii="Times New Roman" w:eastAsia="Times New Roman" w:hAnsi="Times New Roman" w:cs="Times New Roman"/>
          <w:b/>
          <w:bCs/>
          <w:color w:val="F44EE0"/>
          <w:lang w:eastAsia="cs-CZ"/>
        </w:rPr>
      </w:pPr>
      <w:r w:rsidRPr="007E4277">
        <w:rPr>
          <w:rFonts w:ascii="Times New Roman" w:eastAsia="Times New Roman" w:hAnsi="Times New Roman" w:cs="Times New Roman"/>
          <w:b/>
          <w:bCs/>
          <w:color w:val="F44EE0"/>
          <w:lang w:eastAsia="cs-CZ"/>
        </w:rPr>
        <w:t>Komplikace PCOS</w:t>
      </w:r>
    </w:p>
    <w:p w:rsidR="007E4277" w:rsidRPr="007E4277" w:rsidRDefault="007E4277" w:rsidP="007E4277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Ženy trpící PCOS mají zvýšené riziko následujících komplikací: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Insulinová rezistence a diabetes 2. typu (cukrovka)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Arteriální hypertenze (vysoký krevní tlak)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lastRenderedPageBreak/>
        <w:t>Depresivní a úzkostné stavy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Dyslipidémie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– zvýšené krevní tuky cholesterol a/nebo triglyceridy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Kardiovaskulární onemocnění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Cévní mozkové příhody („mrtvice“)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Nárůst hmotnosti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r w:rsidRPr="007E4277">
        <w:rPr>
          <w:rFonts w:ascii="Times New Roman" w:eastAsia="Times New Roman" w:hAnsi="Times New Roman" w:cs="Times New Roman"/>
          <w:lang w:eastAsia="cs-CZ"/>
        </w:rPr>
        <w:t>Spontánní potraty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Acanthosis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nigricans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(tmavé skvrny na kůži v oblasti podpaží, třísel či vzadu na krku)</w:t>
      </w:r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Pr="007E4277">
          <w:rPr>
            <w:rFonts w:ascii="Times New Roman" w:eastAsia="Times New Roman" w:hAnsi="Times New Roman" w:cs="Times New Roman"/>
            <w:color w:val="414141"/>
            <w:u w:val="single"/>
            <w:lang w:eastAsia="cs-CZ"/>
          </w:rPr>
          <w:t>Autoimunitní zánět štítné žlázy</w:t>
        </w:r>
      </w:hyperlink>
    </w:p>
    <w:p w:rsidR="007E4277" w:rsidRPr="007E4277" w:rsidRDefault="007E4277" w:rsidP="007E4277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7E4277">
        <w:rPr>
          <w:rFonts w:ascii="Times New Roman" w:eastAsia="Times New Roman" w:hAnsi="Times New Roman" w:cs="Times New Roman"/>
          <w:lang w:eastAsia="cs-CZ"/>
        </w:rPr>
        <w:t>Dysplázie</w:t>
      </w:r>
      <w:proofErr w:type="spellEnd"/>
      <w:r w:rsidRPr="007E4277">
        <w:rPr>
          <w:rFonts w:ascii="Times New Roman" w:eastAsia="Times New Roman" w:hAnsi="Times New Roman" w:cs="Times New Roman"/>
          <w:lang w:eastAsia="cs-CZ"/>
        </w:rPr>
        <w:t xml:space="preserve"> a karcinom endometria </w:t>
      </w:r>
    </w:p>
    <w:p w:rsidR="00CE0BFE" w:rsidRPr="00CE0BFE" w:rsidRDefault="00CE0BFE" w:rsidP="00CE0BFE">
      <w:pPr>
        <w:pStyle w:val="Odstavecseseznamem"/>
        <w:numPr>
          <w:ilvl w:val="0"/>
          <w:numId w:val="3"/>
        </w:numPr>
        <w:shd w:val="clear" w:color="auto" w:fill="F1F1F1"/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26710" cy="2743200"/>
            <wp:effectExtent l="0" t="0" r="2540" b="0"/>
            <wp:docPr id="1" name="Obrázek 1" descr="https://encrypted-tbn2.gstatic.com/images?q=tbn:ANd9GcStov8rYpZwPgYiJM6SZsKyaypM8o8JQhoCyCrW7h0oxP9qgdH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tov8rYpZwPgYiJM6SZsKyaypM8o8JQhoCyCrW7h0oxP9qgdH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66" w:rsidRDefault="00BC0366"/>
    <w:p w:rsidR="00CE0BFE" w:rsidRPr="00CE0BFE" w:rsidRDefault="00CE0BFE" w:rsidP="00CE0BFE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382135" cy="3728720"/>
            <wp:effectExtent l="0" t="0" r="0" b="5080"/>
            <wp:docPr id="2" name="Obrázek 2" descr="https://encrypted-tbn0.gstatic.com/images?q=tbn:ANd9GcRxu-AUI1nCmdgSOjONoCo7y5SgoNB-cDF04SycOaQKY3FGdrJ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xu-AUI1nCmdgSOjONoCo7y5SgoNB-cDF04SycOaQKY3FGdrJ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0BFE" w:rsidRDefault="00CE0BFE"/>
    <w:sectPr w:rsidR="00CE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B7F"/>
    <w:multiLevelType w:val="multilevel"/>
    <w:tmpl w:val="229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96335"/>
    <w:multiLevelType w:val="multilevel"/>
    <w:tmpl w:val="662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20F0"/>
    <w:multiLevelType w:val="multilevel"/>
    <w:tmpl w:val="BF78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77"/>
    <w:rsid w:val="00002365"/>
    <w:rsid w:val="00002748"/>
    <w:rsid w:val="00013BD4"/>
    <w:rsid w:val="00021985"/>
    <w:rsid w:val="0002210C"/>
    <w:rsid w:val="00034B42"/>
    <w:rsid w:val="0004392E"/>
    <w:rsid w:val="0004628B"/>
    <w:rsid w:val="00073324"/>
    <w:rsid w:val="00076465"/>
    <w:rsid w:val="00097B78"/>
    <w:rsid w:val="000D2289"/>
    <w:rsid w:val="000D618E"/>
    <w:rsid w:val="000E41BE"/>
    <w:rsid w:val="00100992"/>
    <w:rsid w:val="00117129"/>
    <w:rsid w:val="001243B8"/>
    <w:rsid w:val="0017283D"/>
    <w:rsid w:val="00186D07"/>
    <w:rsid w:val="001A67B9"/>
    <w:rsid w:val="001B2984"/>
    <w:rsid w:val="001B30CE"/>
    <w:rsid w:val="001B473D"/>
    <w:rsid w:val="001E4BEA"/>
    <w:rsid w:val="002535C4"/>
    <w:rsid w:val="00277D58"/>
    <w:rsid w:val="002D0B0E"/>
    <w:rsid w:val="002D5301"/>
    <w:rsid w:val="002E18B7"/>
    <w:rsid w:val="002E31FD"/>
    <w:rsid w:val="003177BD"/>
    <w:rsid w:val="00341C8C"/>
    <w:rsid w:val="00342C80"/>
    <w:rsid w:val="0036279C"/>
    <w:rsid w:val="003716EC"/>
    <w:rsid w:val="00373ED2"/>
    <w:rsid w:val="003852F6"/>
    <w:rsid w:val="00394BE2"/>
    <w:rsid w:val="003A168E"/>
    <w:rsid w:val="003D3AED"/>
    <w:rsid w:val="0040441A"/>
    <w:rsid w:val="00454C0B"/>
    <w:rsid w:val="00455EAD"/>
    <w:rsid w:val="00477B58"/>
    <w:rsid w:val="004B6198"/>
    <w:rsid w:val="004B76A7"/>
    <w:rsid w:val="004C0728"/>
    <w:rsid w:val="004F2154"/>
    <w:rsid w:val="00504A0B"/>
    <w:rsid w:val="00511E7E"/>
    <w:rsid w:val="00520BD7"/>
    <w:rsid w:val="00522265"/>
    <w:rsid w:val="0052584F"/>
    <w:rsid w:val="00546961"/>
    <w:rsid w:val="00550C07"/>
    <w:rsid w:val="00556775"/>
    <w:rsid w:val="00557DD9"/>
    <w:rsid w:val="00586E84"/>
    <w:rsid w:val="005A7B15"/>
    <w:rsid w:val="00602D4F"/>
    <w:rsid w:val="00614D9C"/>
    <w:rsid w:val="00623DD3"/>
    <w:rsid w:val="00637E41"/>
    <w:rsid w:val="00656B33"/>
    <w:rsid w:val="00660E09"/>
    <w:rsid w:val="0069184E"/>
    <w:rsid w:val="0069273A"/>
    <w:rsid w:val="00704323"/>
    <w:rsid w:val="00715612"/>
    <w:rsid w:val="00737902"/>
    <w:rsid w:val="00774A48"/>
    <w:rsid w:val="007764B1"/>
    <w:rsid w:val="00793ACE"/>
    <w:rsid w:val="007975E3"/>
    <w:rsid w:val="007A3FBD"/>
    <w:rsid w:val="007A5384"/>
    <w:rsid w:val="007B2755"/>
    <w:rsid w:val="007B4D14"/>
    <w:rsid w:val="007B6DE6"/>
    <w:rsid w:val="007E4277"/>
    <w:rsid w:val="0083012F"/>
    <w:rsid w:val="00833885"/>
    <w:rsid w:val="008361ED"/>
    <w:rsid w:val="00841A52"/>
    <w:rsid w:val="00854687"/>
    <w:rsid w:val="00862685"/>
    <w:rsid w:val="00867FD3"/>
    <w:rsid w:val="00871923"/>
    <w:rsid w:val="00874932"/>
    <w:rsid w:val="008769F4"/>
    <w:rsid w:val="00887721"/>
    <w:rsid w:val="0088794D"/>
    <w:rsid w:val="008A0B85"/>
    <w:rsid w:val="008B7039"/>
    <w:rsid w:val="008C45B9"/>
    <w:rsid w:val="008E3409"/>
    <w:rsid w:val="008E5BDB"/>
    <w:rsid w:val="008F6EB6"/>
    <w:rsid w:val="0090453E"/>
    <w:rsid w:val="009243D2"/>
    <w:rsid w:val="00931559"/>
    <w:rsid w:val="00940AF7"/>
    <w:rsid w:val="009456AD"/>
    <w:rsid w:val="00963E39"/>
    <w:rsid w:val="009750EC"/>
    <w:rsid w:val="009928C2"/>
    <w:rsid w:val="009A79D3"/>
    <w:rsid w:val="009B4A25"/>
    <w:rsid w:val="00A05194"/>
    <w:rsid w:val="00A06037"/>
    <w:rsid w:val="00A11350"/>
    <w:rsid w:val="00A819F7"/>
    <w:rsid w:val="00AA6284"/>
    <w:rsid w:val="00AD1F04"/>
    <w:rsid w:val="00AD2E12"/>
    <w:rsid w:val="00B06EA5"/>
    <w:rsid w:val="00B33BB2"/>
    <w:rsid w:val="00B357DD"/>
    <w:rsid w:val="00B56779"/>
    <w:rsid w:val="00B60505"/>
    <w:rsid w:val="00B825B9"/>
    <w:rsid w:val="00BA307D"/>
    <w:rsid w:val="00BA55FE"/>
    <w:rsid w:val="00BC0366"/>
    <w:rsid w:val="00C027F9"/>
    <w:rsid w:val="00C05373"/>
    <w:rsid w:val="00C12149"/>
    <w:rsid w:val="00C25D03"/>
    <w:rsid w:val="00C33B2B"/>
    <w:rsid w:val="00C42C78"/>
    <w:rsid w:val="00C83943"/>
    <w:rsid w:val="00C90E9B"/>
    <w:rsid w:val="00CB4C43"/>
    <w:rsid w:val="00CB65F6"/>
    <w:rsid w:val="00CB7E42"/>
    <w:rsid w:val="00CD59E1"/>
    <w:rsid w:val="00CE0BFE"/>
    <w:rsid w:val="00D01F2F"/>
    <w:rsid w:val="00D05050"/>
    <w:rsid w:val="00D0584D"/>
    <w:rsid w:val="00D124A3"/>
    <w:rsid w:val="00D21619"/>
    <w:rsid w:val="00D44CAA"/>
    <w:rsid w:val="00D55B9B"/>
    <w:rsid w:val="00D7648A"/>
    <w:rsid w:val="00D7707D"/>
    <w:rsid w:val="00DD7E0E"/>
    <w:rsid w:val="00DE4805"/>
    <w:rsid w:val="00DF39CC"/>
    <w:rsid w:val="00E01B4A"/>
    <w:rsid w:val="00E10858"/>
    <w:rsid w:val="00E13D7B"/>
    <w:rsid w:val="00E460A6"/>
    <w:rsid w:val="00E47EAF"/>
    <w:rsid w:val="00E75BBC"/>
    <w:rsid w:val="00ED5E93"/>
    <w:rsid w:val="00ED6D69"/>
    <w:rsid w:val="00EE6127"/>
    <w:rsid w:val="00F01ED0"/>
    <w:rsid w:val="00F271B3"/>
    <w:rsid w:val="00F31F6C"/>
    <w:rsid w:val="00F36107"/>
    <w:rsid w:val="00F60919"/>
    <w:rsid w:val="00F736CB"/>
    <w:rsid w:val="00F81712"/>
    <w:rsid w:val="00F96EA2"/>
    <w:rsid w:val="00FB14B7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4277"/>
    <w:pPr>
      <w:spacing w:after="144" w:line="240" w:lineRule="auto"/>
      <w:outlineLvl w:val="0"/>
    </w:pPr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E4277"/>
    <w:pPr>
      <w:spacing w:before="288" w:after="120" w:line="240" w:lineRule="auto"/>
      <w:outlineLvl w:val="1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E4277"/>
    <w:pPr>
      <w:spacing w:before="240" w:after="96" w:line="240" w:lineRule="auto"/>
      <w:outlineLvl w:val="2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277"/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4277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4277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4277"/>
    <w:rPr>
      <w:color w:val="414141"/>
      <w:u w:val="single"/>
    </w:rPr>
  </w:style>
  <w:style w:type="paragraph" w:styleId="Normlnweb">
    <w:name w:val="Normal (Web)"/>
    <w:basedOn w:val="Normln"/>
    <w:uiPriority w:val="99"/>
    <w:semiHidden/>
    <w:unhideWhenUsed/>
    <w:rsid w:val="007E427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uginlink">
    <w:name w:val="plugin_link"/>
    <w:basedOn w:val="Standardnpsmoodstavce"/>
    <w:rsid w:val="007E4277"/>
  </w:style>
  <w:style w:type="paragraph" w:styleId="Odstavecseseznamem">
    <w:name w:val="List Paragraph"/>
    <w:basedOn w:val="Normln"/>
    <w:uiPriority w:val="34"/>
    <w:qFormat/>
    <w:rsid w:val="00CE0B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4277"/>
    <w:pPr>
      <w:spacing w:after="144" w:line="240" w:lineRule="auto"/>
      <w:outlineLvl w:val="0"/>
    </w:pPr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E4277"/>
    <w:pPr>
      <w:spacing w:before="288" w:after="120" w:line="240" w:lineRule="auto"/>
      <w:outlineLvl w:val="1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E4277"/>
    <w:pPr>
      <w:spacing w:before="240" w:after="96" w:line="240" w:lineRule="auto"/>
      <w:outlineLvl w:val="2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277"/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4277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4277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4277"/>
    <w:rPr>
      <w:color w:val="414141"/>
      <w:u w:val="single"/>
    </w:rPr>
  </w:style>
  <w:style w:type="paragraph" w:styleId="Normlnweb">
    <w:name w:val="Normal (Web)"/>
    <w:basedOn w:val="Normln"/>
    <w:uiPriority w:val="99"/>
    <w:semiHidden/>
    <w:unhideWhenUsed/>
    <w:rsid w:val="007E427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uginlink">
    <w:name w:val="plugin_link"/>
    <w:basedOn w:val="Standardnpsmoodstavce"/>
    <w:rsid w:val="007E4277"/>
  </w:style>
  <w:style w:type="paragraph" w:styleId="Odstavecseseznamem">
    <w:name w:val="List Paragraph"/>
    <w:basedOn w:val="Normln"/>
    <w:uiPriority w:val="34"/>
    <w:qFormat/>
    <w:rsid w:val="00CE0B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498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8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12" w:space="0" w:color="010032"/>
            <w:right w:val="none" w:sz="0" w:space="0" w:color="auto"/>
          </w:divBdr>
          <w:divsChild>
            <w:div w:id="1143041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6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7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okrinologie-obezitologie.cz/cs/clanky/tema1/snizena-cinnost-stitne-zlazy-hypotyreoz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sermed.cz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m.cz/" TargetMode="External"/><Relationship Id="rId11" Type="http://schemas.openxmlformats.org/officeDocument/2006/relationships/hyperlink" Target="http://www.google.cz/url?sa=i&amp;rct=j&amp;q=&amp;esrc=s&amp;frm=1&amp;source=images&amp;cd=&amp;cad=rja&amp;docid=ykZuXNsPC0d1UM&amp;tbnid=2CpUb9SyOH1hiM:&amp;ved=0CAUQjRw&amp;url=http%3A%2F%2Fzdravi.e15.cz%2Fclanek%2Fpostgradualni-medicina%2Fultrazvuk-v-diagnostice-primarni-a-sekundarni-sterility-422552&amp;ei=q82yUqH0FI_csgbbs4CQAg&amp;bvm=bv.58187178,d.bGQ&amp;psig=AFQjCNFLvNNBVVYTmvy-AHidyJzcDIdk6Q&amp;ust=138753616490240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z/url?sa=i&amp;rct=j&amp;q=&amp;esrc=s&amp;frm=1&amp;source=images&amp;cd=&amp;cad=rja&amp;docid=Umq9Lzcw48o6vM&amp;tbnid=ILR-lmzPfH9PkM:&amp;ved=0CAUQjRw&amp;url=http%3A%2F%2Ftelemedicina.med.muni.cz%2Fgynekologie%2Fobr.php%3Fim%3D19&amp;ei=Xs2yUoLPAYfHswbAkYCwDA&amp;bvm=bv.58187178,d.bGQ&amp;psig=AFQjCNFCs-pL-6u9UJ1v8tIfyAAridhaNg&amp;ust=1387536090597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Drahorádová</dc:creator>
  <cp:lastModifiedBy>Petra Drahorádová</cp:lastModifiedBy>
  <cp:revision>3</cp:revision>
  <dcterms:created xsi:type="dcterms:W3CDTF">2013-12-19T10:38:00Z</dcterms:created>
  <dcterms:modified xsi:type="dcterms:W3CDTF">2013-12-19T10:47:00Z</dcterms:modified>
</cp:coreProperties>
</file>